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sz w:val="28"/>
          <w:szCs w:val="28"/>
        </w:rPr>
        <w:t>25/2015. (XI. 19.) ORFK utasítás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AB1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227AB1">
        <w:rPr>
          <w:rFonts w:ascii="Times New Roman" w:hAnsi="Times New Roman" w:cs="Times New Roman"/>
          <w:b/>
          <w:bCs/>
          <w:sz w:val="28"/>
          <w:szCs w:val="28"/>
        </w:rPr>
        <w:t xml:space="preserve"> munkahelyi komfortérzetet növelő elektromos eszközök, berendezések és egyéb használati tárgyak műszaki megfelelőségének és használati biztonságának ellenőrzéséről</w:t>
      </w:r>
      <w:r w:rsidRPr="00227A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23. § (4) bekezdés </w:t>
      </w:r>
      <w:r w:rsidRPr="00227AB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27AB1">
        <w:rPr>
          <w:rFonts w:ascii="Times New Roman" w:hAnsi="Times New Roman" w:cs="Times New Roman"/>
          <w:sz w:val="24"/>
          <w:szCs w:val="24"/>
        </w:rPr>
        <w:t xml:space="preserve">pontja, a Rendőrségről szóló 1994. évi XXXIV. törvény 6. § (1) bekezdés </w:t>
      </w:r>
      <w:r w:rsidRPr="00227AB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27AB1">
        <w:rPr>
          <w:rFonts w:ascii="Times New Roman" w:hAnsi="Times New Roman" w:cs="Times New Roman"/>
          <w:sz w:val="24"/>
          <w:szCs w:val="24"/>
        </w:rPr>
        <w:t>pontja, valamint a munkaeszközök és használatuk biztonsági és egészségügyi követelményeinek minimális szintjéről szóló 14/2004. (IV. 19.) FMM rendelet alapján kiadom az alábbi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AB1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: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Általános rendelkezések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1. Az utasítás hatálya az általános rendőrségi feladatok ellátására létrehozott szervre (a továbbiakban: Rendőrség) és annak személyi állományára terjed ki.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2. Az utasítás alkalmazásában komfortérzetet növelő elektromos eszközök, berendezések és egyéb használati tárgyak: a munkaeszközök és használatuk biztonsági és egészségügyi követelményeinek minimális szintjéről szóló 14/2004. (IV. 19.) FMM rendelet hatálya alá tartozó eszközök, így különösen a kávé- és a teafőző, a vízforraló, a szendvicssütő, a kenyérpirító, a mikrohullámú készülék, a rádió, a magnó, a hűtőszekrény, az olajradiátor, a hősugárzó, a ventilátor, a hálózati feszültséggel üzemelő informatikai eszközök, a légkondicionáló berendezések, továbbá az egyéb hálózati feszültséggel üzemelő elektromos berendezések (a továbbiakban együtt: elektromos berendezés).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Részletes rendelkezések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3. A 8. pontban foglaltak kivételével a személyi állomány tagja (a továbbiakban: állománytag) a rendőrségi objektumban nem rendőrségi tulajdonú elektromos berendezést kérelemre és legalább osztályvezető jogállású vezető írásbeli engedélye alapján tarthat és használhat. Az engedélyt kiadó vezető az engedélyezést megelőzően köteles a 9. pontban felsorolt szempontok alapján - a kérelemben megnevezett - elektromos berendezést ellenőrizni.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4. A kizárólag kifogástalan műszaki állapotú, szemmel láthatóan sérülésmentes és rendeltetésszerű használatra alkalmas elektromos berendezés használható és engedélyezhető.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5. A kérelem, valamint az írásos engedély mintáját az 1. melléklet tartalmazza. A kiadott engedély eredeti példányát az állománytagnak át kell adnia a közvetlen szolgálati elöljárónak megőrzésre, másolati példányát a kérelmező kapja.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6. Az engedély megőrzéséről a közvetlen szolgálati elöljáró az engedély visszavonásáig gondoskodik.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lastRenderedPageBreak/>
        <w:t>7. Az írásbeli engedély másolati példányát annak kiadója a területileg illetékes munkavédelmi felügyelőnek és a gazdasági szakterületnek is megküldi. A gazdasági szakterület - az elektromos hálózat terhelhetőségének függvényében - korlátozhatja a kiadható engedélyek számát.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 xml:space="preserve">8. A mobiltelefon töltője, valamint a mobil informatikai eszközök (pl. laptop, </w:t>
      </w:r>
      <w:proofErr w:type="spellStart"/>
      <w:r w:rsidRPr="00227AB1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227AB1">
        <w:rPr>
          <w:rFonts w:ascii="Times New Roman" w:hAnsi="Times New Roman" w:cs="Times New Roman"/>
          <w:sz w:val="24"/>
          <w:szCs w:val="24"/>
        </w:rPr>
        <w:t>, notebook) egyéb kiegészítője külön engedély nélkül behozhatók, illetve használhatók a rendőrségi objektumon belül, amennyiben kifogástalan állapotú és műszakilag használatra alkalmas.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9. Az informatikai eszközök kivételével az elektromos berendezés igénybevétele előtt az állománytag minden esetben köteles szemrevételezéssel ellenőrizni: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B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27A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27AB1">
        <w:rPr>
          <w:rFonts w:ascii="Times New Roman" w:hAnsi="Times New Roman" w:cs="Times New Roman"/>
          <w:sz w:val="24"/>
          <w:szCs w:val="24"/>
        </w:rPr>
        <w:t>az adott készülék burkolatának épségét, a szigetelő burkolat állapotát;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27AB1">
        <w:rPr>
          <w:rFonts w:ascii="Times New Roman" w:hAnsi="Times New Roman" w:cs="Times New Roman"/>
          <w:sz w:val="24"/>
          <w:szCs w:val="24"/>
        </w:rPr>
        <w:t>a készülék szerelvényeinek, fogantyúinak, kezelő- és kapcsolószerveinek, védőfedeleinek meglétét, valamint általános állapotát;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27AB1">
        <w:rPr>
          <w:rFonts w:ascii="Times New Roman" w:hAnsi="Times New Roman" w:cs="Times New Roman"/>
          <w:sz w:val="24"/>
          <w:szCs w:val="24"/>
        </w:rPr>
        <w:t>az elektromos eszközök csatlakozóvezetékeinek és a dugaszolóaljzatoknak az állapotát.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10. Az elektromos berendezés műszaki megfelelőségéről és használati biztonságáról - függetlenül attól, hogy kinek a tulajdonában van - a szervezeti egység vezetője évente egy alkalommal szerelői ellenőrzés keretében meggyőződik.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 xml:space="preserve">11. A szerelői ellenőrzést a szervezeti egység vezetője által erre a feladatra kijelölt - lehetőség szerint a rendőri szerv állományában lévő, villanyszerelői, </w:t>
      </w:r>
      <w:proofErr w:type="spellStart"/>
      <w:r w:rsidRPr="00227AB1">
        <w:rPr>
          <w:rFonts w:ascii="Times New Roman" w:hAnsi="Times New Roman" w:cs="Times New Roman"/>
          <w:sz w:val="24"/>
          <w:szCs w:val="24"/>
        </w:rPr>
        <w:t>villamosipari</w:t>
      </w:r>
      <w:proofErr w:type="spellEnd"/>
      <w:r w:rsidRPr="00227AB1">
        <w:rPr>
          <w:rFonts w:ascii="Times New Roman" w:hAnsi="Times New Roman" w:cs="Times New Roman"/>
          <w:sz w:val="24"/>
          <w:szCs w:val="24"/>
        </w:rPr>
        <w:t xml:space="preserve"> vagy egyéb műszaki szakképesítéssel rendelkező - személy a 2. melléklet alapján dokumentálja. A szerelői ellenőrzés keretében az elektromos berendezésekre vonatkozóan mennyiségi adatszolgáltatás mellőzésével az ellenőrzést végző személy a nem megfelelő műszaki állapotú, rendeltetésszerű használatra alkalmatlan eszközöket és a megtett intézkedéseket köteles dokumentálni. A szerelői ellenőrzés dokumentációját a következő éves szerelői ellenőrzésig kell megőrizni.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12. Azon elektromos berendezés használatát, amely nem felel meg a műszaki követelményeknek - így különösen sérült, törött, hiányos vagy rongált -, az engedély kiadója haladéktalanul megtiltja, az engedélyt visszavonja, és megteszi a szükséges intézkedéseket az elektromos berendezés használat helyéről történő eltávolítása érdekében.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Záró rendelkezések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13. Az utasítás hatálybalépése előtt a munka- és szolgálati helyeken használatba vett - az állománytag birtokában lévő - elektromos berendezés utólagos engedélyeztetését az utasítás hatálybalépését követő 90 napon belül kell elvégezni.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14. Ez az utasítás a közzétételét követő tizenötödik napon lép hatályba.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 25/2015. (XI. 19.) ORFK utasításhoz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szerv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megnevezése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Szám: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KÉRELEM </w:t>
      </w: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munkavállaló (állománytag) tulajdonában lévő elektromos berendezés munkahelyre történő behozatalához és használatához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6068"/>
      </w:tblGrid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kérelmező neve, rendfokozata, </w:t>
            </w:r>
            <w:r w:rsidRPr="00227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beosztása: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Elektromos berendezés megnevezése: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Elektromos berendezés azonosítója</w:t>
            </w:r>
            <w:r w:rsidRPr="00227AB1">
              <w:rPr>
                <w:rFonts w:ascii="Times New Roman" w:hAnsi="Times New Roman" w:cs="Times New Roman"/>
                <w:sz w:val="20"/>
                <w:szCs w:val="20"/>
              </w:rPr>
              <w:br/>
              <w:t>(pl. gyári szám, sorozatszám):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Elektromos berendezés használatának helye, elhelyezése (épület, emelet, irodaszám):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Kérelem indoka: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(név, r. fok.)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sz w:val="24"/>
          <w:szCs w:val="24"/>
        </w:rPr>
        <w:t>A szerelői ellenőrzésre kijelölt személy megállapítása a használni kívánt elektromos berendezéssel kapcsolatban: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A vonatkozó előírásoknak a használni kívánt elektromos berendezés:*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AB1">
        <w:rPr>
          <w:rFonts w:ascii="Times New Roman" w:hAnsi="Times New Roman" w:cs="Times New Roman"/>
          <w:sz w:val="24"/>
          <w:szCs w:val="24"/>
        </w:rPr>
        <w:t>MEGFELEL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         NEM FELEL MEG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(Amennyiben a szerelői ellenőrzés eredménye nem megfelelő, engedély kiadása nem lehetséges.)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ellenőrzést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végző neve, aláírás (név, r. fok.)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Melléklet: használni kívánt eszköz használati útmutatója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ENGEDÉLYEZÉS </w:t>
      </w: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munkavállaló (állománytag) tulajdonában lévő elektromos berendezés munkahelyre történő behozatalához és használatához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A kérelmező munkavállaló (állománytag) tulajdonában lévő elektromos berendezés munkahelyre történő behozatalát és használatát az engedély visszavonásáig:*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AB1">
        <w:rPr>
          <w:rFonts w:ascii="Times New Roman" w:hAnsi="Times New Roman" w:cs="Times New Roman"/>
          <w:sz w:val="24"/>
          <w:szCs w:val="24"/>
        </w:rPr>
        <w:t>Engedélyezem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         Nem engedélyezem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P. H.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engedélyező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neve, aláírása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lastRenderedPageBreak/>
        <w:t>Az engedély egy példányát átvettem, tudomásul veszem, hogy a tulajdonomat képező elektromos berendezést csak rendeltetésszerűen és kifogástalan műszaki állapotban használhatom.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(név, r. fok.)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* A megfelelő rész aláhúzandó.</w:t>
      </w:r>
    </w:p>
    <w:p w:rsidR="00227AB1" w:rsidRDefault="00227AB1" w:rsidP="00227AB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  <w:sectPr w:rsidR="00227AB1" w:rsidSect="00066B58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AB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2. melléklet a 25/2015. (XI. 19.) ORFK utasításhoz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szerv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megnevezése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Szám: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KIMUTATÁS </w:t>
      </w:r>
      <w:r w:rsidRPr="00227AB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munkavállaló (állománytag) és a munkáltató tulajdonában lévő elektromos berendezések éves szerelői ellenőrzése során feltárt hiányosságokról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3244"/>
        <w:gridCol w:w="1652"/>
        <w:gridCol w:w="1644"/>
        <w:gridCol w:w="2162"/>
        <w:gridCol w:w="1670"/>
      </w:tblGrid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Kitöltési segédlet: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(1) M = munkáltató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(2) SZ = szemrevételezés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(3) J = eltávolítás a munka-, szolgálati helyről, javítás szükséges (munkáltatói tulajdon esetén)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MV = munkavállaló (állománytag)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MP = működési próba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S = eltávolítás a munka-, szolgálati helyről, selejtezés indokolt (munkáltatói tulajdon esetén)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MV = műszeres vizsgálat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E = eltávolítás a munka-, szolgálati helyről (állománytag tulajdona esetén)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Ü = üzemelhet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 elektromos berendezés </w:t>
            </w:r>
            <w:proofErr w:type="gramStart"/>
            <w:r w:rsidRPr="00227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tulajdonosa(</w:t>
            </w:r>
            <w:proofErr w:type="gramEnd"/>
            <w:r w:rsidRPr="00227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Az elektromos berendezés megnevezése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Gyári száma</w:t>
            </w:r>
            <w:r w:rsidRPr="00227A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(saját tulajdon </w:t>
            </w:r>
            <w:r w:rsidRPr="00227AB1">
              <w:rPr>
                <w:rFonts w:ascii="Times New Roman" w:hAnsi="Times New Roman" w:cs="Times New Roman"/>
                <w:sz w:val="20"/>
                <w:szCs w:val="20"/>
              </w:rPr>
              <w:br/>
              <w:t>esetén)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Leltári száma (rendőrségi </w:t>
            </w:r>
            <w:r w:rsidRPr="00227AB1">
              <w:rPr>
                <w:rFonts w:ascii="Times New Roman" w:hAnsi="Times New Roman" w:cs="Times New Roman"/>
                <w:sz w:val="20"/>
                <w:szCs w:val="20"/>
              </w:rPr>
              <w:br/>
              <w:t>tulajdon esetén)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A szerelői ellenőrzés </w:t>
            </w:r>
            <w:proofErr w:type="gramStart"/>
            <w:r w:rsidRPr="00227AB1">
              <w:rPr>
                <w:rFonts w:ascii="Times New Roman" w:hAnsi="Times New Roman" w:cs="Times New Roman"/>
                <w:sz w:val="20"/>
                <w:szCs w:val="20"/>
              </w:rPr>
              <w:t>módja(</w:t>
            </w:r>
            <w:proofErr w:type="gramEnd"/>
            <w:r w:rsidRPr="00227A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A szerelői ellenőrzés </w:t>
            </w:r>
            <w:proofErr w:type="gramStart"/>
            <w:r w:rsidRPr="00227AB1">
              <w:rPr>
                <w:rFonts w:ascii="Times New Roman" w:hAnsi="Times New Roman" w:cs="Times New Roman"/>
                <w:sz w:val="20"/>
                <w:szCs w:val="20"/>
              </w:rPr>
              <w:t>megállapítása(</w:t>
            </w:r>
            <w:proofErr w:type="gramEnd"/>
            <w:r w:rsidRPr="00227A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AB1" w:rsidRPr="00227A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1" w:rsidRPr="00227AB1" w:rsidRDefault="00227AB1" w:rsidP="0022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sz w:val="24"/>
          <w:szCs w:val="24"/>
        </w:rPr>
        <w:t>A szerelői ellenőrzést végző személy neve</w:t>
      </w:r>
      <w:proofErr w:type="gramStart"/>
      <w:r w:rsidRPr="00227A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b/>
          <w:bCs/>
          <w:sz w:val="24"/>
          <w:szCs w:val="24"/>
        </w:rPr>
        <w:t>Aláírása</w:t>
      </w:r>
      <w:proofErr w:type="gramStart"/>
      <w:r w:rsidRPr="00227A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27AB1" w:rsidRPr="00227AB1" w:rsidRDefault="00227AB1" w:rsidP="00227AB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27AB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</w:t>
      </w:r>
      <w:r w:rsidRPr="00227A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27A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7AB1">
        <w:rPr>
          <w:rFonts w:ascii="Times New Roman" w:hAnsi="Times New Roman" w:cs="Times New Roman"/>
          <w:sz w:val="24"/>
          <w:szCs w:val="24"/>
        </w:rPr>
        <w:t xml:space="preserve"> szervezeti egység vezetőjének aláírása</w:t>
      </w:r>
    </w:p>
    <w:p w:rsidR="00227AB1" w:rsidRPr="00227AB1" w:rsidRDefault="00227AB1" w:rsidP="0022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42" w:rsidRDefault="00237A42"/>
    <w:sectPr w:rsidR="00237A42" w:rsidSect="00227AB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96" w:rsidRDefault="005D4396" w:rsidP="00227AB1">
      <w:pPr>
        <w:spacing w:after="0" w:line="240" w:lineRule="auto"/>
      </w:pPr>
      <w:r>
        <w:separator/>
      </w:r>
    </w:p>
  </w:endnote>
  <w:endnote w:type="continuationSeparator" w:id="0">
    <w:p w:rsidR="005D4396" w:rsidRDefault="005D4396" w:rsidP="0022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96" w:rsidRDefault="005D4396" w:rsidP="00227AB1">
      <w:pPr>
        <w:spacing w:after="0" w:line="240" w:lineRule="auto"/>
      </w:pPr>
      <w:r>
        <w:separator/>
      </w:r>
    </w:p>
  </w:footnote>
  <w:footnote w:type="continuationSeparator" w:id="0">
    <w:p w:rsidR="005D4396" w:rsidRDefault="005D4396" w:rsidP="00227AB1">
      <w:pPr>
        <w:spacing w:after="0" w:line="240" w:lineRule="auto"/>
      </w:pPr>
      <w:r>
        <w:continuationSeparator/>
      </w:r>
    </w:p>
  </w:footnote>
  <w:footnote w:id="1">
    <w:p w:rsidR="00227AB1" w:rsidRDefault="00227AB1" w:rsidP="00227AB1">
      <w:r>
        <w:rPr>
          <w:vertAlign w:val="superscript"/>
        </w:rPr>
        <w:footnoteRef/>
      </w:r>
      <w:r>
        <w:t xml:space="preserve"> Közzétételére a Hivatalos Értesítő 57. számában került sor, 2015. november 19-én.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1"/>
    <w:rsid w:val="00227AB1"/>
    <w:rsid w:val="00237A42"/>
    <w:rsid w:val="005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2016-04-12T15:06:00Z</dcterms:created>
  <dcterms:modified xsi:type="dcterms:W3CDTF">2016-04-12T15:07:00Z</dcterms:modified>
</cp:coreProperties>
</file>